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50"/>
        <w:gridCol w:w="7504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02551A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75191E">
              <w:t>0</w:t>
            </w:r>
            <w:r w:rsidR="0002551A">
              <w:t>2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r w:rsidR="0002551A">
              <w:t>3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1709EA1" wp14:editId="188254CB">
                        <wp:extent cx="926208" cy="616974"/>
                        <wp:effectExtent l="0" t="0" r="7620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208" cy="616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Võ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Văn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Thưởng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: "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tắc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sống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còn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kiên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định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nghĩa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Marx-Lenin!"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774587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(Nguyễn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"</w:t>
                  </w:r>
                  <w:proofErr w:type="spellStart"/>
                  <w:r>
                    <w:t>Mác-Lê</w:t>
                  </w:r>
                  <w:proofErr w:type="spellEnd"/>
                  <w:r>
                    <w:t>" hay "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Minh",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còn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2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915730" cy="609995"/>
                        <wp:effectExtent l="0" t="0" r="0" b="0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5730" cy="609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dân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hy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vọng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gì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khi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ông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Võ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Văn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Thưởng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thức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làm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Chủ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tịch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nước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?</w:t>
                    </w:r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774587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nói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ta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cương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>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945520" cy="567312"/>
                        <wp:effectExtent l="0" t="0" r="6985" b="4445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5520" cy="567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Nội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Thơ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các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trung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cơ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giới</w:t>
                    </w:r>
                    <w:proofErr w:type="spellEnd"/>
                  </w:hyperlink>
                </w:p>
                <w:p w:rsidR="005E7394" w:rsidRPr="005E7394" w:rsidRDefault="005E7394" w:rsidP="005E7394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774587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Ngọc Ý,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Cần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1006999" cy="565219"/>
                        <wp:effectExtent l="0" t="0" r="3175" b="6350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6999" cy="5652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Điện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Biên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Cựu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Sở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dục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Đào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lãnh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án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774587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0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1044524" cy="695788"/>
                        <wp:effectExtent l="0" t="0" r="3810" b="952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4524" cy="695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HoSE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tiếp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tục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đưa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Cổ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phiếu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ITA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bà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Đặng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Hoàng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Yến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diện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cảnh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báo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774587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phiếu</w:t>
                  </w:r>
                  <w:proofErr w:type="spellEnd"/>
                  <w:r>
                    <w:t xml:space="preserve"> ITA </w:t>
                  </w:r>
                  <w:proofErr w:type="spellStart"/>
                  <w:r>
                    <w:t>tiếp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HoSE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tục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(9/2022).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0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905967" cy="603491"/>
                        <wp:effectExtent l="0" t="0" r="8890" b="6350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967" cy="603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3" w:history="1"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VinFast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45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xe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điện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đầu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tiên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cho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khách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Hoa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</w:hyperlink>
                </w:p>
                <w:p w:rsidR="00F831B2" w:rsidRPr="00F831B2" w:rsidRDefault="00F831B2" w:rsidP="00F831B2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774587">
                  <w:pPr>
                    <w:spacing w:line="276" w:lineRule="auto"/>
                  </w:pP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45 </w:t>
                  </w:r>
                  <w:proofErr w:type="spellStart"/>
                  <w:r>
                    <w:t>chiếc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tiểu</w:t>
                  </w:r>
                  <w:proofErr w:type="spellEnd"/>
                  <w:r>
                    <w:t xml:space="preserve"> bang California </w:t>
                  </w:r>
                  <w:proofErr w:type="spellStart"/>
                  <w:r>
                    <w:t>hôm</w:t>
                  </w:r>
                  <w:proofErr w:type="spellEnd"/>
                  <w:r>
                    <w:t xml:space="preserve"> 1/3, </w:t>
                  </w:r>
                  <w:proofErr w:type="spellStart"/>
                  <w:r>
                    <w:t>đợt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VinFast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892991" cy="594847"/>
                        <wp:effectExtent l="0" t="0" r="2540" b="0"/>
                        <wp:docPr id="1" name="Picture 1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2991" cy="594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B17B22" w:rsidRDefault="00B17B22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0EA8" w:rsidRDefault="006F0EA8">
            <w:pPr>
              <w:spacing w:line="276" w:lineRule="auto"/>
              <w:rPr>
                <w:sz w:val="20"/>
                <w:szCs w:val="20"/>
              </w:rPr>
            </w:pPr>
          </w:p>
          <w:p w:rsidR="006F0EA8" w:rsidRDefault="006F0EA8">
            <w:pPr>
              <w:spacing w:line="276" w:lineRule="auto"/>
              <w:rPr>
                <w:sz w:val="20"/>
                <w:szCs w:val="20"/>
              </w:rPr>
            </w:pPr>
          </w:p>
          <w:p w:rsidR="006F0EA8" w:rsidRDefault="006F0EA8">
            <w:pPr>
              <w:spacing w:line="276" w:lineRule="auto"/>
              <w:rPr>
                <w:sz w:val="20"/>
                <w:szCs w:val="20"/>
              </w:rPr>
            </w:pPr>
          </w:p>
          <w:p w:rsidR="006F0EA8" w:rsidRDefault="006F0EA8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46C974B3" wp14:editId="398EDFDA">
                  <wp:extent cx="870797" cy="509837"/>
                  <wp:effectExtent l="0" t="0" r="5715" b="5080"/>
                  <wp:docPr id="12" name="Pictur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7" cy="50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74587" w:rsidRPr="00774587" w:rsidRDefault="00774587" w:rsidP="00774587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Philippines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đang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hướng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mở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rộng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hợp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tác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ninh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phòng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với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774587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Singapore</w:t>
                    </w:r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B17B22" w:rsidRDefault="006F0EA8">
                  <w:pPr>
                    <w:spacing w:after="240" w:line="276" w:lineRule="auto"/>
                  </w:pPr>
                  <w:r>
                    <w:t xml:space="preserve">Philippines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Singapore,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an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ninh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>.</w:t>
                  </w:r>
                </w:p>
                <w:p w:rsidR="00B17B22" w:rsidRDefault="00B17B22">
                  <w:pPr>
                    <w:spacing w:after="240" w:line="276" w:lineRule="auto"/>
                  </w:pPr>
                </w:p>
                <w:p w:rsidR="00B17B22" w:rsidRDefault="00B17B22">
                  <w:pPr>
                    <w:spacing w:after="240" w:line="276" w:lineRule="auto"/>
                  </w:pPr>
                </w:p>
                <w:p w:rsidR="00B17B22" w:rsidRDefault="00B17B22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6F0EA8" w:rsidRPr="006F0EA8" w:rsidRDefault="006F0EA8" w:rsidP="006F0EA8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9" w:history="1"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Tổng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Giám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đốc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Cơ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Phát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triển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Quốc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tế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Hoa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USAID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sắp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đến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6F0EA8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</w:t>
                    </w:r>
                  </w:hyperlink>
                </w:p>
                <w:p w:rsidR="006F128E" w:rsidRDefault="006F0EA8" w:rsidP="003D5627">
                  <w:pPr>
                    <w:spacing w:after="240" w:line="276" w:lineRule="auto"/>
                  </w:pP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USAID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1/3 </w:t>
                  </w:r>
                  <w:proofErr w:type="spellStart"/>
                  <w:r>
                    <w:t>thông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Samantha Power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Nam-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nay, hai </w:t>
                  </w:r>
                  <w:proofErr w:type="spellStart"/>
                  <w:r>
                    <w:t>phía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niệm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diện</w:t>
                  </w:r>
                  <w:proofErr w:type="spellEnd"/>
                  <w:r>
                    <w:t>.</w:t>
                  </w:r>
                  <w:bookmarkStart w:id="0" w:name="_GoBack"/>
                  <w:bookmarkEnd w:id="0"/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3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2551A"/>
    <w:rsid w:val="00094A03"/>
    <w:rsid w:val="00143DCC"/>
    <w:rsid w:val="001A6CF8"/>
    <w:rsid w:val="001C3896"/>
    <w:rsid w:val="002231FD"/>
    <w:rsid w:val="00233988"/>
    <w:rsid w:val="0026143E"/>
    <w:rsid w:val="003C5436"/>
    <w:rsid w:val="003D5627"/>
    <w:rsid w:val="00455939"/>
    <w:rsid w:val="00530977"/>
    <w:rsid w:val="005E7394"/>
    <w:rsid w:val="005F54DC"/>
    <w:rsid w:val="00651C05"/>
    <w:rsid w:val="006F0EA8"/>
    <w:rsid w:val="006F128E"/>
    <w:rsid w:val="00703378"/>
    <w:rsid w:val="0075191E"/>
    <w:rsid w:val="00774587"/>
    <w:rsid w:val="007B2F3A"/>
    <w:rsid w:val="00862EA7"/>
    <w:rsid w:val="008C5B59"/>
    <w:rsid w:val="009A3A52"/>
    <w:rsid w:val="009B3968"/>
    <w:rsid w:val="00A20403"/>
    <w:rsid w:val="00B17B22"/>
    <w:rsid w:val="00CB5D5B"/>
    <w:rsid w:val="00DD54E5"/>
    <w:rsid w:val="00EB04FE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the-new-president-vo-van-thuong-declared-that-steadfast-adherence-to-marxism-leninism-is-essential-for-survival-03022023031446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hyperlink" Target="https://www.rfa.org/vietnamese/news/police-small-business-greeasing-fees-al-jazeera-122320210802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http://www.doctin.inf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vietnamnews/former-director-of-dien-bien-education-department-sentenced-to-5-years-in-jail-03022023072148.html" TargetMode="External"/><Relationship Id="rId25" Type="http://schemas.openxmlformats.org/officeDocument/2006/relationships/image" Target="media/image7.png"/><Relationship Id="rId33" Type="http://schemas.openxmlformats.org/officeDocument/2006/relationships/hyperlink" Target="mailto:VietTV@rfa.or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fa.org/vietnamese/news/vietnamnews/hose-continues-to-put-ita-stocks-on-alert-03022023072532.html" TargetMode="External"/><Relationship Id="rId29" Type="http://schemas.openxmlformats.org/officeDocument/2006/relationships/hyperlink" Target="https://www.rfa.org/vietnamese/news/vietnamnews/samantha-power-visiting-vietnam-usaid-030220230743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what-are-hopes-of-vietnamese-citizens-from-new-state-president-vo-van-thuong-03022023070747.html" TargetMode="External"/><Relationship Id="rId24" Type="http://schemas.openxmlformats.org/officeDocument/2006/relationships/hyperlink" Target="https://www.rfa.org/vietnamese/news/former-chairman-of-hanoi-nguyen-duc-chung-appealed-12232021072507.html" TargetMode="External"/><Relationship Id="rId32" Type="http://schemas.openxmlformats.org/officeDocument/2006/relationships/hyperlink" Target="http://www.rfatiengviet.ne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vietnamnews/vietnams-vinfast-delivers-first-evs-for-customers-in-the-usa-03022023080025.html" TargetMode="External"/><Relationship Id="rId28" Type="http://schemas.openxmlformats.org/officeDocument/2006/relationships/hyperlink" Target="https://www.rfa.org/vietnamese/news/vietnamnews/philippines-works-to-expand-defense-security-cooperation-with-vietnam-and-singapore-03022023075216.html" TargetMode="External"/><Relationship Id="rId36" Type="http://schemas.openxmlformats.org/officeDocument/2006/relationships/hyperlink" Target="mailto:vietnews-leave@rfanews.or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mailto:vietweb@r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directors-of-registration-centers-in-can-tho-hanoi-arrested-03022023071758.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8.jpeg"/><Relationship Id="rId30" Type="http://schemas.openxmlformats.org/officeDocument/2006/relationships/hyperlink" Target="http://www.rfa.org/vietnamese" TargetMode="External"/><Relationship Id="rId35" Type="http://schemas.openxmlformats.org/officeDocument/2006/relationships/hyperlink" Target="http://www.achautudo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4D44-075B-4FF1-8DCF-91104DC1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2023-03-02T19:13:00Z</dcterms:created>
  <dcterms:modified xsi:type="dcterms:W3CDTF">2023-03-02T19:13:00Z</dcterms:modified>
</cp:coreProperties>
</file>