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  <w:gridCol w:w="1900"/>
        <w:gridCol w:w="18"/>
        <w:gridCol w:w="18"/>
        <w:gridCol w:w="7280"/>
      </w:tblGrid>
      <w:tr w:rsidR="007B17BC" w:rsidRPr="003D2629" w:rsidTr="007B17BC">
        <w:trPr>
          <w:trHeight w:val="1521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  <w:bookmarkStart w:id="0" w:name="_GoBack"/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05AB0">
              <w:rPr>
                <w:rFonts w:ascii="Arial" w:eastAsia="Times New Roman" w:hAnsi="Arial" w:cs="Arial"/>
                <w:color w:val="404040"/>
              </w:rPr>
              <w:t>0</w:t>
            </w:r>
            <w:r>
              <w:rPr>
                <w:rFonts w:ascii="Arial" w:eastAsia="Times New Roman" w:hAnsi="Arial" w:cs="Arial"/>
                <w:color w:val="404040"/>
              </w:rPr>
              <w:t>3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05AB0">
              <w:rPr>
                <w:rFonts w:ascii="Arial" w:eastAsia="Times New Roman" w:hAnsi="Arial" w:cs="Arial"/>
                <w:color w:val="404040"/>
              </w:rPr>
              <w:t>3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EB7BF33" wp14:editId="0A2EDC46">
                        <wp:extent cx="941430" cy="627620"/>
                        <wp:effectExtent l="0" t="0" r="0" b="127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30" cy="62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HRW: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không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thể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ngăn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Facebooker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Lê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Minh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Thể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tiếp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cận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sư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gặp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rPr>
                      <w:b/>
                    </w:rPr>
                  </w:pPr>
                  <w:r w:rsidRPr="00FC4652">
                    <w:rPr>
                      <w:b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405AB0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ngăn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gặp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Facebooker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331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chương</w:t>
                  </w:r>
                  <w:proofErr w:type="spellEnd"/>
                  <w:r>
                    <w:t xml:space="preserve"> "An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"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Theo </w:t>
                  </w:r>
                  <w:proofErr w:type="spellStart"/>
                  <w:r>
                    <w:t>dõi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(HRW) </w:t>
                  </w:r>
                  <w:proofErr w:type="spellStart"/>
                  <w:r>
                    <w:t>khẳng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"vi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>."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7B17BC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2C52D9D" wp14:editId="2173C51E">
                        <wp:extent cx="914400" cy="637130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941" cy="6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lời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chúc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mừng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Tập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Cận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Bình</w:t>
                    </w:r>
                    <w:proofErr w:type="spellEnd"/>
                  </w:hyperlink>
                </w:p>
                <w:p w:rsidR="007B17BC" w:rsidRPr="00FC4652" w:rsidRDefault="007B17BC" w:rsidP="00355CD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C465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405AB0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2/3 </w:t>
                  </w:r>
                  <w:proofErr w:type="spellStart"/>
                  <w:r>
                    <w:t>gửi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Thưởng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7B17BC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5DC4A5" wp14:editId="354DE959">
                        <wp:extent cx="943241" cy="657225"/>
                        <wp:effectExtent l="0" t="0" r="9525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00" cy="665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Hải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Phòng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Đỗ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Hữu Ca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khai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35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tỷ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chạy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</w:hyperlink>
                </w:p>
                <w:p w:rsidR="007B17BC" w:rsidRPr="00F24BB5" w:rsidRDefault="007B17BC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8208A3" w:rsidRDefault="007B17BC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405AB0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Hải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Đỗ</w:t>
                  </w:r>
                  <w:proofErr w:type="spellEnd"/>
                  <w:r>
                    <w:t xml:space="preserve"> Hữu Ca,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chạy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”. </w:t>
                  </w:r>
                  <w:proofErr w:type="spellStart"/>
                  <w:r>
                    <w:t>Tuy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nhiên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Ca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44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1600"/>
          <w:tblHeader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7B17BC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8FDDB78" wp14:editId="0DD93FCC">
                        <wp:extent cx="872197" cy="457200"/>
                        <wp:effectExtent l="0" t="0" r="4445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866" cy="460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Thọ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Khánh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vi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cơ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giới</w:t>
                    </w:r>
                    <w:proofErr w:type="spellEnd"/>
                  </w:hyperlink>
                </w:p>
                <w:p w:rsidR="007B17BC" w:rsidRPr="000106B3" w:rsidRDefault="007B17BC" w:rsidP="00355CD4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405AB0" w:rsidP="003D2629">
                  <w:pPr>
                    <w:spacing w:after="0" w:line="240" w:lineRule="auto"/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19-02D,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Đôn</w:t>
                  </w:r>
                  <w:proofErr w:type="spellEnd"/>
                  <w:r>
                    <w:t xml:space="preserve"> Ý,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Thọ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3/3.</w:t>
                  </w:r>
                </w:p>
                <w:p w:rsidR="00405AB0" w:rsidRPr="003D2629" w:rsidRDefault="00405AB0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Tại</w:t>
                  </w:r>
                  <w:proofErr w:type="spellEnd"/>
                  <w:r>
                    <w:t xml:space="preserve"> Khánh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Hữu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Khánh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7901S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2/3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nhánh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Cam </w:t>
                  </w:r>
                  <w:proofErr w:type="spellStart"/>
                  <w:r>
                    <w:t>Ranh</w:t>
                  </w:r>
                  <w:proofErr w:type="spellEnd"/>
                  <w:r>
                    <w:t xml:space="preserve"> 79-02S.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516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color w:val="404040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5"/>
            </w:tblGrid>
            <w:tr w:rsidR="007B17BC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271273C" wp14:editId="29FB167E">
                        <wp:extent cx="790694" cy="496096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694" cy="496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mở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rộng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đường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rồi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đường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thủy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405AB0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Ngoài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còn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địa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87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7B17BC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09AB69E" wp14:editId="6A5C92E1">
                        <wp:extent cx="761303" cy="643424"/>
                        <wp:effectExtent l="0" t="0" r="1270" b="4445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303" cy="643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Số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thụt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két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”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tham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ô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học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Bách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Khoa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Nẵng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136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tỷ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17BC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405AB0" w:rsidP="00355CD4">
                  <w:proofErr w:type="spellStart"/>
                  <w:r>
                    <w:lastRenderedPageBreak/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rút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ô </w:t>
                  </w:r>
                  <w:proofErr w:type="spellStart"/>
                  <w:r>
                    <w:t>xảy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Bách</w:t>
                  </w:r>
                  <w:proofErr w:type="spellEnd"/>
                  <w:r>
                    <w:t xml:space="preserve"> Khoa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(ĐHBKĐN)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136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.</w:t>
                  </w:r>
                </w:p>
              </w:tc>
            </w:tr>
            <w:tr w:rsidR="007B17BC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Default="007B17BC" w:rsidP="00355CD4"/>
              </w:tc>
            </w:tr>
            <w:tr w:rsidR="007B17BC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C7BA683" wp14:editId="2EAFFB8F">
                  <wp:extent cx="969709" cy="544288"/>
                  <wp:effectExtent l="0" t="0" r="1905" b="8255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09" cy="54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0"/>
            </w:tblGrid>
            <w:tr w:rsidR="007B17BC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7B17BC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05AB0" w:rsidRPr="00405AB0" w:rsidRDefault="00405AB0" w:rsidP="00405AB0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HĐND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tỉnh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Yên Nguyễn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Tấn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Chân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05AB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cáo</w:t>
                    </w:r>
                    <w:proofErr w:type="spellEnd"/>
                  </w:hyperlink>
                </w:p>
                <w:p w:rsidR="007B17BC" w:rsidRPr="003D2629" w:rsidRDefault="007B17BC" w:rsidP="0035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5CD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7B17BC" w:rsidRPr="003D2629" w:rsidRDefault="007B17BC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17BC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B17BC" w:rsidRPr="003D2629" w:rsidRDefault="00971974" w:rsidP="00A12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UBND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buông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lỏng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, ban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UBND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trợ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</w:t>
                  </w:r>
                  <w:proofErr w:type="spellEnd"/>
                  <w:r>
                    <w:t>.”</w:t>
                  </w:r>
                </w:p>
              </w:tc>
            </w:tr>
            <w:tr w:rsidR="007B17BC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7B17BC" w:rsidRPr="003D2629" w:rsidRDefault="007B17BC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7B17BC" w:rsidRPr="003D2629" w:rsidRDefault="007B17BC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2110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7BC" w:rsidRPr="003D2629" w:rsidTr="007B17BC">
        <w:trPr>
          <w:trHeight w:val="1765"/>
        </w:trPr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7B17BC" w:rsidRPr="003D2629" w:rsidRDefault="007B17BC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bookmarkEnd w:id="0"/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B3F93"/>
    <w:rsid w:val="003409EE"/>
    <w:rsid w:val="00355CD4"/>
    <w:rsid w:val="003831B8"/>
    <w:rsid w:val="003D2629"/>
    <w:rsid w:val="003E2198"/>
    <w:rsid w:val="00405AB0"/>
    <w:rsid w:val="004C3407"/>
    <w:rsid w:val="004F2A1E"/>
    <w:rsid w:val="00591577"/>
    <w:rsid w:val="005E4189"/>
    <w:rsid w:val="00647069"/>
    <w:rsid w:val="00662DED"/>
    <w:rsid w:val="006F45BB"/>
    <w:rsid w:val="007436A1"/>
    <w:rsid w:val="007B17BC"/>
    <w:rsid w:val="007F2CC5"/>
    <w:rsid w:val="008208A3"/>
    <w:rsid w:val="00902B1F"/>
    <w:rsid w:val="00971974"/>
    <w:rsid w:val="009964EE"/>
    <w:rsid w:val="00A1268C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  <w:style w:type="character" w:styleId="Hyperlink">
    <w:name w:val="Hyperlink"/>
    <w:basedOn w:val="DefaultParagraphFont"/>
    <w:uiPriority w:val="99"/>
    <w:unhideWhenUsed/>
    <w:rsid w:val="0035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investigation-at-land-vehicle-registration-centers-widened-then-waterway-ones-to-be-investigated-03032023082707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da-nang-polytechnic-university-corruption-case-found-at-vnd136-billion-03032023081725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former-hai-phong-police-chief-do-huu-ca-declares-with-investigators-03032023084556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hrw-says-vietnamese-police-not-entitled-to-prevent-facebooker-le-minh-the-to-access-lawyers-and-family-03032023071527.html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rfa.org/vietnamese/news/vietnamnews/phu-yen-deputy-head-of-peoples-council-nguyen-tan-chan-gets-stern-warning-03032023080638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rfa.org/vietnamese/news/vietnamnews/phu-tho-and-khanh-hoa-police-detain-violated-officers-at-vehicle-registration-center-03032023083412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xi-congratulates-vo-van-thuong-on-assuming-vietnams-presidency-03032023085105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2023-03-04T23:58:00Z</dcterms:created>
  <dcterms:modified xsi:type="dcterms:W3CDTF">2023-03-04T23:58:00Z</dcterms:modified>
</cp:coreProperties>
</file>