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04"/>
        <w:gridCol w:w="7550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5E7394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5E7394">
              <w:t>31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18B5BF9D" wp14:editId="0F84B258">
                        <wp:extent cx="926208" cy="694656"/>
                        <wp:effectExtent l="0" t="0" r="762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208" cy="694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tham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cóc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Trịnh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Xuân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Thanh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tòa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Đức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kết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5E7394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Ngày</w:t>
                  </w:r>
                  <w:proofErr w:type="spellEnd"/>
                  <w:r>
                    <w:t xml:space="preserve"> 30/1,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Thượng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Berlin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</w:t>
                  </w:r>
                  <w:proofErr w:type="spellEnd"/>
                  <w:r>
                    <w:t xml:space="preserve"> Anh </w:t>
                  </w:r>
                  <w:proofErr w:type="spellStart"/>
                  <w:r>
                    <w:t>Tú</w:t>
                  </w:r>
                  <w:proofErr w:type="spellEnd"/>
                  <w:r>
                    <w:t xml:space="preserve">, 32 </w:t>
                  </w:r>
                  <w:proofErr w:type="spellStart"/>
                  <w:r>
                    <w:t>tuổi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ngụ</w:t>
                  </w:r>
                  <w:proofErr w:type="spellEnd"/>
                  <w:r>
                    <w:t xml:space="preserve"> ở Praha (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Séc</w:t>
                  </w:r>
                  <w:proofErr w:type="spellEnd"/>
                  <w:r>
                    <w:t xml:space="preserve">),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> 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Thanh ở Berlin </w:t>
                  </w:r>
                  <w:proofErr w:type="spellStart"/>
                  <w:r>
                    <w:t>hồi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7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2017.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1019131" cy="678872"/>
                        <wp:effectExtent l="0" t="0" r="0" b="6985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382" cy="679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Bảy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tổ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chức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kêu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gọi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 minh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bạch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cái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chết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5E7394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 w:rsidRPr="005E7394">
                    <w:t>Bảy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tổ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chức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nhân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quyền</w:t>
                  </w:r>
                  <w:proofErr w:type="spellEnd"/>
                  <w:r w:rsidRPr="005E7394">
                    <w:t xml:space="preserve">, </w:t>
                  </w:r>
                  <w:proofErr w:type="spellStart"/>
                  <w:r w:rsidRPr="005E7394">
                    <w:t>nghề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nghiệp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và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chính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trị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trong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và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ngoài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nước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cùng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ký</w:t>
                  </w:r>
                  <w:proofErr w:type="spellEnd"/>
                  <w:r w:rsidRPr="005E7394">
                    <w:t xml:space="preserve"> </w:t>
                  </w:r>
                  <w:hyperlink r:id="rId12" w:history="1">
                    <w:proofErr w:type="spellStart"/>
                    <w:r w:rsidRPr="005E7394">
                      <w:rPr>
                        <w:color w:val="0000FF"/>
                        <w:u w:val="single"/>
                      </w:rPr>
                      <w:t>thông</w:t>
                    </w:r>
                    <w:proofErr w:type="spellEnd"/>
                    <w:r w:rsidRPr="005E7394">
                      <w:rPr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color w:val="0000FF"/>
                        <w:u w:val="single"/>
                      </w:rPr>
                      <w:t>cáo</w:t>
                    </w:r>
                    <w:proofErr w:type="spellEnd"/>
                    <w:r w:rsidRPr="005E7394">
                      <w:rPr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color w:val="0000FF"/>
                        <w:u w:val="single"/>
                      </w:rPr>
                      <w:t>chung</w:t>
                    </w:r>
                    <w:proofErr w:type="spellEnd"/>
                  </w:hyperlink>
                  <w:r w:rsidRPr="005E7394">
                    <w:t xml:space="preserve"> </w:t>
                  </w:r>
                  <w:proofErr w:type="spellStart"/>
                  <w:r w:rsidRPr="005E7394">
                    <w:t>công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bố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trong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ngày</w:t>
                  </w:r>
                  <w:proofErr w:type="spellEnd"/>
                  <w:r w:rsidRPr="005E7394">
                    <w:t xml:space="preserve"> 30/1, </w:t>
                  </w:r>
                  <w:proofErr w:type="spellStart"/>
                  <w:r w:rsidRPr="005E7394">
                    <w:t>nêu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lên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tình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trạng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đối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xử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vô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nhân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đạo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của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nhà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tù</w:t>
                  </w:r>
                  <w:proofErr w:type="spellEnd"/>
                  <w:r w:rsidRPr="005E7394">
                    <w:t xml:space="preserve"> ở </w:t>
                  </w:r>
                  <w:proofErr w:type="spellStart"/>
                  <w:r w:rsidRPr="005E7394">
                    <w:t>Việt</w:t>
                  </w:r>
                  <w:proofErr w:type="spellEnd"/>
                  <w:r w:rsidRPr="005E7394">
                    <w:t xml:space="preserve"> Nam </w:t>
                  </w:r>
                  <w:proofErr w:type="spellStart"/>
                  <w:r w:rsidRPr="005E7394">
                    <w:t>đối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với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tù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nhân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và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kêu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gọi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cộng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đồng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quốc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tế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lên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tiếng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để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nhà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nước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độc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đảng</w:t>
                  </w:r>
                  <w:proofErr w:type="spellEnd"/>
                  <w:r w:rsidRPr="005E7394">
                    <w:t xml:space="preserve"> ở </w:t>
                  </w:r>
                  <w:proofErr w:type="spellStart"/>
                  <w:r w:rsidRPr="005E7394">
                    <w:t>Đông</w:t>
                  </w:r>
                  <w:proofErr w:type="spellEnd"/>
                  <w:r w:rsidRPr="005E7394">
                    <w:t xml:space="preserve"> Nam Á </w:t>
                  </w:r>
                  <w:proofErr w:type="spellStart"/>
                  <w:r w:rsidRPr="005E7394">
                    <w:t>cải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thiện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chế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độ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giam</w:t>
                  </w:r>
                  <w:proofErr w:type="spellEnd"/>
                  <w:r w:rsidRPr="005E7394">
                    <w:t xml:space="preserve"> </w:t>
                  </w:r>
                  <w:proofErr w:type="spellStart"/>
                  <w:r w:rsidRPr="005E7394">
                    <w:t>giữ</w:t>
                  </w:r>
                  <w:proofErr w:type="spellEnd"/>
                  <w:r w:rsidRPr="005E7394">
                    <w:t>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945520" cy="630347"/>
                        <wp:effectExtent l="0" t="0" r="6985" b="0"/>
                        <wp:docPr id="5" name="Picture 5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520" cy="630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đang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trốn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truy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nã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Nguyễn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Thanh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kháng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cáo</w:t>
                    </w:r>
                    <w:proofErr w:type="spellEnd"/>
                  </w:hyperlink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5E7394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nã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Nhàn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CP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Quốc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AIC, </w:t>
                  </w:r>
                  <w:proofErr w:type="spellStart"/>
                  <w:r>
                    <w:t>kháng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thẩm</w:t>
                  </w:r>
                  <w:proofErr w:type="spellEnd"/>
                  <w:r>
                    <w:t xml:space="preserve"> 30 </w:t>
                  </w:r>
                  <w:proofErr w:type="spellStart"/>
                  <w:r>
                    <w:t>năm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1007001" cy="565220"/>
                        <wp:effectExtent l="0" t="0" r="3175" b="6350"/>
                        <wp:docPr id="4" name="Picture 4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7001" cy="56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vì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5E7394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DD54E5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Mười</w:t>
                  </w:r>
                  <w:proofErr w:type="spellEnd"/>
                  <w:r>
                    <w:t> 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29-01V ở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31/1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>”.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879531" cy="615671"/>
                        <wp:effectExtent l="0" t="0" r="0" b="0"/>
                        <wp:docPr id="3" name="Picture 3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31" cy="615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D54E5" w:rsidRPr="00DD54E5" w:rsidRDefault="00DD54E5" w:rsidP="00DD54E5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Máy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quân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gặp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nạn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phi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thiệt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mạng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DD54E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máy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31/1 </w:t>
                  </w:r>
                  <w:proofErr w:type="spellStart"/>
                  <w:r>
                    <w:t>gặp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phi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mạng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926150" cy="616936"/>
                        <wp:effectExtent l="0" t="0" r="7620" b="0"/>
                        <wp:docPr id="2" name="Picture 2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150" cy="616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D54E5" w:rsidRPr="00DD54E5" w:rsidRDefault="00DD54E5" w:rsidP="00DD54E5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sẽ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tăng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cường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tác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chẩn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đoán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COVID-19</w:t>
                    </w:r>
                  </w:hyperlink>
                </w:p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DD54E5">
                  <w:pPr>
                    <w:spacing w:line="276" w:lineRule="auto"/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COVID-19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840632" cy="477262"/>
                        <wp:effectExtent l="0" t="0" r="0" b="0"/>
                        <wp:docPr id="1" name="Picture 1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0632" cy="477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46C974B3" wp14:editId="398EDFDA">
                  <wp:extent cx="870797" cy="610962"/>
                  <wp:effectExtent l="0" t="0" r="5715" b="0"/>
                  <wp:docPr id="12" name="Picture 1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7" cy="610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50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D54E5" w:rsidRPr="00DD54E5" w:rsidRDefault="00DD54E5" w:rsidP="00DD54E5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lý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cấp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đường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dây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đánh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bạc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Phan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Sào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A3A52" w:rsidRDefault="00DD54E5">
                  <w:pPr>
                    <w:spacing w:after="240" w:line="276" w:lineRule="auto"/>
                  </w:pPr>
                  <w:r>
                    <w:t xml:space="preserve">Nguyễn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Bình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Nguyễn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, Phan </w:t>
                  </w:r>
                  <w:proofErr w:type="spellStart"/>
                  <w:r>
                    <w:t>Sào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>.</w:t>
                  </w:r>
                </w:p>
                <w:p w:rsidR="006F128E" w:rsidRDefault="006F128E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DD54E5" w:rsidRPr="00DD54E5" w:rsidRDefault="00DD54E5" w:rsidP="00DD54E5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30" w:history="1"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Hơn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ngàn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thương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vong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vì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TNGT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tháng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đầu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DD54E5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2023</w:t>
                    </w:r>
                  </w:hyperlink>
                </w:p>
                <w:p w:rsidR="006F128E" w:rsidRDefault="00DD54E5" w:rsidP="003D5627">
                  <w:pPr>
                    <w:spacing w:after="240" w:line="276" w:lineRule="auto"/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ghi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797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tai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508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2023.</w:t>
                  </w:r>
                  <w:bookmarkStart w:id="0" w:name="_GoBack"/>
                  <w:bookmarkEnd w:id="0"/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lastRenderedPageBreak/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4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94A03"/>
    <w:rsid w:val="00143DCC"/>
    <w:rsid w:val="001A6CF8"/>
    <w:rsid w:val="001C3896"/>
    <w:rsid w:val="002231FD"/>
    <w:rsid w:val="00233988"/>
    <w:rsid w:val="0026143E"/>
    <w:rsid w:val="003C5436"/>
    <w:rsid w:val="003D5627"/>
    <w:rsid w:val="00455939"/>
    <w:rsid w:val="00530977"/>
    <w:rsid w:val="005E7394"/>
    <w:rsid w:val="005F54DC"/>
    <w:rsid w:val="00651C05"/>
    <w:rsid w:val="006F128E"/>
    <w:rsid w:val="00703378"/>
    <w:rsid w:val="007B2F3A"/>
    <w:rsid w:val="00862EA7"/>
    <w:rsid w:val="008C5B59"/>
    <w:rsid w:val="009A3A52"/>
    <w:rsid w:val="009B3968"/>
    <w:rsid w:val="00A20403"/>
    <w:rsid w:val="00CB5D5B"/>
    <w:rsid w:val="00DD54E5"/>
    <w:rsid w:val="00EB04FE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second-accomplice-in-trinh-xuan-thanh-abduction-case-is-sentenced-to-five-years-in-prison-01312023094754.html" TargetMode="External"/><Relationship Id="rId13" Type="http://schemas.openxmlformats.org/officeDocument/2006/relationships/hyperlink" Target="https://www.rfa.org/vietnamese/news/many-provinces-cities-confirmed-to-have-purchased-products-from-viet-a-12232021073931.html" TargetMode="External"/><Relationship Id="rId18" Type="http://schemas.openxmlformats.org/officeDocument/2006/relationships/hyperlink" Target="https://www.rfa.org/vietnamese/news/vietnamnews/more-registers-arrested-for-taking-bribes-01312023083624.html" TargetMode="External"/><Relationship Id="rId26" Type="http://schemas.openxmlformats.org/officeDocument/2006/relationships/image" Target="media/image7.jpe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news/yen-bai-jet-accident-killing-one-pilot-01312023082030.html" TargetMode="External"/><Relationship Id="rId34" Type="http://schemas.openxmlformats.org/officeDocument/2006/relationships/hyperlink" Target="mailto:VietTV@rfa.or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ietnamhumanrights.net/website/230130_MLNQVN.htm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rfa.org/vietnamese/news/former-chairman-of-hanoi-nguyen-duc-chung-appealed-12232021072507.html" TargetMode="External"/><Relationship Id="rId33" Type="http://schemas.openxmlformats.org/officeDocument/2006/relationships/hyperlink" Target="http://www.rfatiengviet.net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fa.org/vietnamese/news/former-head-of-dong-do-university-admits-granting-fake-degrees-12232021075638.html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rfa.org/vietnamese/news/vietnamnews/another-level-2-agent-in-phan-sao-nam-gambling-line-arrested-0131202307073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seven-organizations-request-vietnam-to-improve-living-conditions-in-prisons-01312023063635.html" TargetMode="External"/><Relationship Id="rId24" Type="http://schemas.openxmlformats.org/officeDocument/2006/relationships/hyperlink" Target="https://www.rfa.org/vietnamese/news/vietnamnews/vietnam-to-strengthen-covid-19-diagnosis-and-treatment-amid-new-variants-01312023075411.html" TargetMode="External"/><Relationship Id="rId32" Type="http://schemas.openxmlformats.org/officeDocument/2006/relationships/hyperlink" Target="mailto:vietweb@rfa.org" TargetMode="External"/><Relationship Id="rId37" Type="http://schemas.openxmlformats.org/officeDocument/2006/relationships/hyperlink" Target="mailto:vietnews-leave@rfanew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vietnamnews/wanted-ceo-nguyen-thi-thanh-nhan-appeals-the-30-year-sentence-01312023082759.html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36" Type="http://schemas.openxmlformats.org/officeDocument/2006/relationships/hyperlink" Target="http://www.achautudo.info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rfa.org/vietnamese/news/vn-government-does-not-agree-to-import-37-used-japanese-train-carriages-12232021074038.html" TargetMode="External"/><Relationship Id="rId31" Type="http://schemas.openxmlformats.org/officeDocument/2006/relationships/hyperlink" Target="http://www.rfa.org/vietname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rfa.org/vietnamese/news/vietnam-factory-closures-cause-nike-to-cancel-130m-units-12222021072747.html" TargetMode="External"/><Relationship Id="rId27" Type="http://schemas.openxmlformats.org/officeDocument/2006/relationships/hyperlink" Target="https://www.rfa.org/vietnamese/news/police-small-business-greeasing-fees-al-jazeera-12232021080250.html" TargetMode="External"/><Relationship Id="rId30" Type="http://schemas.openxmlformats.org/officeDocument/2006/relationships/hyperlink" Target="https://www.rfa.org/vietnamese/news/vietnamnews/over-one-thousand-people-die-and-injured-in-traffic-accidents-in-first-month-of-2023-01312023070946.html" TargetMode="External"/><Relationship Id="rId35" Type="http://schemas.openxmlformats.org/officeDocument/2006/relationships/hyperlink" Target="http://www.docti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FE32-3AB9-41A9-97E2-913E9A84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2023-01-31T21:18:00Z</dcterms:created>
  <dcterms:modified xsi:type="dcterms:W3CDTF">2023-01-31T21:18:00Z</dcterms:modified>
</cp:coreProperties>
</file>