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600"/>
      </w:tblGrid>
      <w:tr w:rsidR="00651C05" w:rsidTr="00651C05">
        <w:trPr>
          <w:trHeight w:val="1521"/>
        </w:trPr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 w:rsidP="00B90BC8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233988">
              <w:t>3</w:t>
            </w:r>
            <w:r w:rsidR="00B90BC8">
              <w:t>1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</w:t>
            </w:r>
            <w:r w:rsidR="00B90BC8">
              <w:t xml:space="preserve">0 </w:t>
            </w:r>
            <w:proofErr w:type="spellStart"/>
            <w:r w:rsidR="00B90BC8">
              <w:t>năm</w:t>
            </w:r>
            <w:proofErr w:type="spellEnd"/>
            <w:r w:rsidR="00B90BC8">
              <w:t xml:space="preserve"> 2022</w:t>
            </w:r>
          </w:p>
        </w:tc>
      </w:tr>
      <w:tr w:rsidR="00651C05" w:rsidTr="00651C05">
        <w:trPr>
          <w:trHeight w:val="214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0"/>
            </w:tblGrid>
            <w:tr w:rsidR="00651C05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02966D66" wp14:editId="5FEF87D1">
                        <wp:extent cx="736594" cy="551258"/>
                        <wp:effectExtent l="0" t="0" r="6985" b="1270"/>
                        <wp:docPr id="7" name="Picture 7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594" cy="551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  <w:bookmarkStart w:id="0" w:name="_GoBack"/>
                  <w:bookmarkEnd w:id="0"/>
                </w:p>
              </w:tc>
            </w:tr>
            <w:tr w:rsidR="00651C05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90BC8" w:rsidRDefault="00B90BC8" w:rsidP="00B9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Ông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Trọng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đi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Bắc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Kinh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,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cư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dân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mạng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lo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lắng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ngả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về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Trung Quốc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quá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color w:val="FF0000"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nhiều</w:t>
                  </w:r>
                  <w:proofErr w:type="spellEnd"/>
                </w:p>
                <w:p w:rsidR="00B90BC8" w:rsidRPr="00B90BC8" w:rsidRDefault="00B90BC8" w:rsidP="00B9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</w:pPr>
                  <w:proofErr w:type="spellStart"/>
                  <w:r>
                    <w:t>Chuyến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sang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Cận</w:t>
                  </w:r>
                  <w:proofErr w:type="spellEnd"/>
                  <w:r>
                    <w:t xml:space="preserve"> Bình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30/10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chú</w:t>
                  </w:r>
                  <w:proofErr w:type="spellEnd"/>
                  <w:r>
                    <w:t xml:space="preserve"> ý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tỏ</w:t>
                  </w:r>
                  <w:proofErr w:type="spellEnd"/>
                  <w:r>
                    <w:t xml:space="preserve"> lo </w:t>
                  </w:r>
                  <w:proofErr w:type="spellStart"/>
                  <w:r>
                    <w:t>lắng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>.</w:t>
                  </w:r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Pr="00651C05" w:rsidRDefault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44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</w:p>
        </w:tc>
      </w:tr>
      <w:tr w:rsidR="00651C05" w:rsidTr="00651C05">
        <w:trPr>
          <w:trHeight w:val="160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651C05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876368" cy="678479"/>
                        <wp:effectExtent l="0" t="0" r="0" b="7620"/>
                        <wp:docPr id="6" name="Picture 6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68" cy="678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90BC8" w:rsidRPr="00B90BC8" w:rsidRDefault="00B90BC8" w:rsidP="00B9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Đối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thoại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Nhân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quyền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-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Mỹ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2022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sắp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diễn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ra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trong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bối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cảnh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thành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tích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nhân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quyền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tồi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tệ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của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Hà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Nội</w:t>
                  </w:r>
                  <w:proofErr w:type="spellEnd"/>
                </w:p>
                <w:p w:rsidR="00651C05" w:rsidRDefault="00651C05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B90BC8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26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2/11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31/10.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44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lastRenderedPageBreak/>
              <w:t> </w:t>
            </w:r>
          </w:p>
        </w:tc>
      </w:tr>
      <w:tr w:rsidR="00651C05" w:rsidTr="00651C05">
        <w:trPr>
          <w:trHeight w:val="160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651C05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852649" cy="583102"/>
                        <wp:effectExtent l="0" t="0" r="5080" b="7620"/>
                        <wp:docPr id="5" name="Picture 5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649" cy="583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90BC8" w:rsidRPr="00B90BC8" w:rsidRDefault="00B90BC8" w:rsidP="00B9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Vụ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các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chuyến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bay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giải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cứu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: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nữ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giám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đốc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công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ty ở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Đà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Nẵng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bị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bắt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vì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lừa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đảo</w:t>
                  </w:r>
                  <w:proofErr w:type="spellEnd"/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B90BC8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Bà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Anh,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TNHH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&amp; Du </w:t>
                  </w:r>
                  <w:proofErr w:type="spellStart"/>
                  <w:r>
                    <w:t>lịch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</w:t>
                  </w:r>
                  <w:proofErr w:type="spellEnd"/>
                  <w:r>
                    <w:t xml:space="preserve"> Anh,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30/10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‘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’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51C05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324F3F8C" wp14:editId="25459DED">
                        <wp:extent cx="933972" cy="622146"/>
                        <wp:effectExtent l="0" t="0" r="0" b="6985"/>
                        <wp:docPr id="4" name="Picture 4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972" cy="6221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90BC8" w:rsidRPr="00B90BC8" w:rsidRDefault="00B90BC8" w:rsidP="00B9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Cần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Thơ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: hai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cựu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Giám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đốc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Sở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Y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tế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bị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đề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nghị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truy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tố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do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thông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thầu</w:t>
                  </w:r>
                  <w:proofErr w:type="spellEnd"/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B90BC8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r>
                    <w:t xml:space="preserve">Hai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bạc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(NSJ Group)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Bình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trúng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tế</w:t>
                  </w:r>
                  <w:proofErr w:type="spellEnd"/>
                  <w:r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651C05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990818" cy="660012"/>
                        <wp:effectExtent l="0" t="0" r="0" b="6985"/>
                        <wp:docPr id="3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818" cy="660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90BC8" w:rsidRPr="00B90BC8" w:rsidRDefault="00B90BC8" w:rsidP="00B9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Vietnam Airlines, Bamboo Airways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đều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báo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lỗ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nghìn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tỉ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đồng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trong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chín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tháng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đầu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năm</w:t>
                  </w:r>
                  <w:proofErr w:type="spellEnd"/>
                  <w:r w:rsidRPr="00B9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2022</w:t>
                  </w:r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160BC8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r>
                    <w:lastRenderedPageBreak/>
                    <w:t xml:space="preserve">Bamboo Airways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FLC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3.500 </w:t>
                  </w:r>
                  <w:proofErr w:type="spellStart"/>
                  <w:r>
                    <w:t>tỉ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Vietnam Airlines </w:t>
                  </w:r>
                  <w:proofErr w:type="spellStart"/>
                  <w:r>
                    <w:t>cũng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lỗ</w:t>
                  </w:r>
                  <w:proofErr w:type="spellEnd"/>
                  <w:r>
                    <w:t>. 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651C05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957081" cy="637540"/>
                        <wp:effectExtent l="0" t="0" r="0" b="0"/>
                        <wp:docPr id="2" name="Picture 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081" cy="637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  <w:p w:rsidR="003D5627" w:rsidRDefault="003D5627">
            <w:pPr>
              <w:spacing w:line="276" w:lineRule="auto"/>
              <w:rPr>
                <w:sz w:val="20"/>
                <w:szCs w:val="20"/>
              </w:rPr>
            </w:pPr>
          </w:p>
          <w:p w:rsidR="003D5627" w:rsidRDefault="003D56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60BC8" w:rsidRPr="00160BC8" w:rsidRDefault="00160BC8" w:rsidP="0016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Hãng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đấu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giá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Pháp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dời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ngày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đấu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giá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ấn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vàng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triều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Nguyễn sang 10/11</w:t>
                  </w:r>
                </w:p>
                <w:p w:rsidR="00651C05" w:rsidRDefault="00651C05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160BC8">
                  <w:pPr>
                    <w:spacing w:line="276" w:lineRule="auto"/>
                  </w:pPr>
                  <w:proofErr w:type="spellStart"/>
                  <w:r>
                    <w:t>Hãng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Millon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chiếc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sang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10/11/2022. 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9"/>
            </w:tblGrid>
            <w:tr w:rsidR="00651C05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2DD0CDC" wp14:editId="35432871">
                        <wp:extent cx="939652" cy="625929"/>
                        <wp:effectExtent l="0" t="0" r="0" b="3175"/>
                        <wp:docPr id="1" name="Picture 1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652" cy="6259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</w:p>
          <w:p w:rsidR="003D5627" w:rsidRDefault="003D5627">
            <w:pPr>
              <w:spacing w:line="276" w:lineRule="auto"/>
              <w:rPr>
                <w:sz w:val="20"/>
                <w:szCs w:val="20"/>
              </w:rPr>
            </w:pPr>
          </w:p>
          <w:p w:rsidR="00160BC8" w:rsidRDefault="00160BC8">
            <w:pPr>
              <w:spacing w:line="276" w:lineRule="auto"/>
              <w:rPr>
                <w:sz w:val="20"/>
                <w:szCs w:val="20"/>
              </w:rPr>
            </w:pPr>
          </w:p>
          <w:p w:rsidR="00160BC8" w:rsidRDefault="00160BC8">
            <w:pPr>
              <w:spacing w:line="276" w:lineRule="auto"/>
              <w:rPr>
                <w:sz w:val="20"/>
                <w:szCs w:val="20"/>
              </w:rPr>
            </w:pPr>
          </w:p>
          <w:p w:rsidR="00160BC8" w:rsidRDefault="00160BC8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>
                  <wp:extent cx="939682" cy="640342"/>
                  <wp:effectExtent l="0" t="0" r="0" b="7620"/>
                  <wp:docPr id="12" name="Picture 1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82" cy="64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</w:t>
                  </w:r>
                  <w:r w:rsidR="003D5627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VIỆ</w:t>
                  </w:r>
                  <w:r w:rsidR="007B2F3A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</w:t>
                  </w:r>
                  <w:r w:rsidR="003D5627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60BC8" w:rsidRPr="00160BC8" w:rsidRDefault="00160BC8" w:rsidP="00160BC8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Kaspersky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phát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hiện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hơn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50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ngàn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vụ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tấn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công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giả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mạo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ngân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hàng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tại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Việt</w:t>
                  </w:r>
                  <w:proofErr w:type="spellEnd"/>
                  <w:r w:rsidRPr="00160BC8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Nam</w:t>
                  </w:r>
                </w:p>
                <w:p w:rsidR="00651C05" w:rsidRDefault="00651C05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1C05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4A03" w:rsidRDefault="00160BC8">
                  <w:pPr>
                    <w:spacing w:after="240" w:line="276" w:lineRule="auto"/>
                  </w:pPr>
                  <w:proofErr w:type="spellStart"/>
                  <w:r>
                    <w:t>Hơn</w:t>
                  </w:r>
                  <w:proofErr w:type="spellEnd"/>
                  <w:r>
                    <w:t xml:space="preserve"> 50 </w:t>
                  </w:r>
                  <w:proofErr w:type="spellStart"/>
                  <w:r>
                    <w:t>ngàn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 qua </w:t>
                  </w:r>
                  <w:proofErr w:type="spellStart"/>
                  <w:r>
                    <w:t>mạng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nhắm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2022. </w:t>
                  </w:r>
                  <w:r w:rsidR="00651C05">
                    <w:br/>
                  </w:r>
                </w:p>
                <w:p w:rsidR="00094A03" w:rsidRDefault="00094A03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</w:t>
                  </w:r>
                  <w:r w:rsidR="003D5627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VIỆT NAM</w:t>
                  </w:r>
                  <w:r w:rsidR="007B2F3A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 </w:t>
                  </w:r>
                </w:p>
                <w:p w:rsidR="00160BC8" w:rsidRPr="00160BC8" w:rsidRDefault="00160BC8" w:rsidP="00160BC8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Chủ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tịch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Samsung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thăm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Việt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Nam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để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tìm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thêm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cơ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hội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kinh</w:t>
                    </w:r>
                    <w:proofErr w:type="spellEnd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60BC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</w:rPr>
                      <w:t>doanh</w:t>
                    </w:r>
                    <w:proofErr w:type="spellEnd"/>
                  </w:hyperlink>
                </w:p>
                <w:p w:rsidR="00651C05" w:rsidRDefault="00651C05" w:rsidP="003D5627">
                  <w:pPr>
                    <w:spacing w:after="240" w:line="276" w:lineRule="auto"/>
                  </w:pPr>
                  <w:r>
                    <w:br/>
                  </w:r>
                  <w:r w:rsidR="00160BC8">
                    <w:t xml:space="preserve">Tin </w:t>
                  </w:r>
                  <w:proofErr w:type="spellStart"/>
                  <w:r w:rsidR="00160BC8">
                    <w:t>nói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kế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hoạch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đang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được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bàn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cho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chuyến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thăm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dự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kiến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vào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cuối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năm</w:t>
                  </w:r>
                  <w:proofErr w:type="spellEnd"/>
                  <w:r w:rsidR="00160BC8">
                    <w:t xml:space="preserve"> nay </w:t>
                  </w:r>
                  <w:proofErr w:type="spellStart"/>
                  <w:r w:rsidR="00160BC8">
                    <w:t>của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ông</w:t>
                  </w:r>
                  <w:proofErr w:type="spellEnd"/>
                  <w:r w:rsidR="00160BC8">
                    <w:t xml:space="preserve"> Lee Jae-</w:t>
                  </w:r>
                  <w:proofErr w:type="spellStart"/>
                  <w:r w:rsidR="00160BC8">
                    <w:t>yong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đến</w:t>
                  </w:r>
                  <w:proofErr w:type="spellEnd"/>
                  <w:r w:rsidR="00160BC8">
                    <w:t xml:space="preserve"> Trung </w:t>
                  </w:r>
                  <w:proofErr w:type="spellStart"/>
                  <w:r w:rsidR="00160BC8">
                    <w:t>tâm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Nghiên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cứu</w:t>
                  </w:r>
                  <w:proofErr w:type="spellEnd"/>
                  <w:r w:rsidR="00160BC8">
                    <w:t xml:space="preserve"> &amp; </w:t>
                  </w:r>
                  <w:proofErr w:type="spellStart"/>
                  <w:r w:rsidR="00160BC8">
                    <w:t>Phát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triển</w:t>
                  </w:r>
                  <w:proofErr w:type="spellEnd"/>
                  <w:r w:rsidR="00160BC8">
                    <w:t xml:space="preserve"> (R&amp;D) </w:t>
                  </w:r>
                  <w:proofErr w:type="spellStart"/>
                  <w:r w:rsidR="00160BC8">
                    <w:t>của</w:t>
                  </w:r>
                  <w:proofErr w:type="spellEnd"/>
                  <w:r w:rsidR="00160BC8">
                    <w:t xml:space="preserve"> Samsung Electronics </w:t>
                  </w:r>
                  <w:proofErr w:type="spellStart"/>
                  <w:r w:rsidR="00160BC8">
                    <w:t>tại</w:t>
                  </w:r>
                  <w:proofErr w:type="spellEnd"/>
                  <w:r w:rsidR="00160BC8">
                    <w:t xml:space="preserve"> </w:t>
                  </w:r>
                  <w:proofErr w:type="spellStart"/>
                  <w:r w:rsidR="00160BC8">
                    <w:t>Việt</w:t>
                  </w:r>
                  <w:proofErr w:type="spellEnd"/>
                  <w:r w:rsidR="00160BC8">
                    <w:t xml:space="preserve"> Nam.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1C05" w:rsidTr="00651C05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2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3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lastRenderedPageBreak/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2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2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26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27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2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94A03"/>
    <w:rsid w:val="00143DCC"/>
    <w:rsid w:val="00160BC8"/>
    <w:rsid w:val="00233988"/>
    <w:rsid w:val="0026143E"/>
    <w:rsid w:val="003C0AC2"/>
    <w:rsid w:val="003C5436"/>
    <w:rsid w:val="003D5627"/>
    <w:rsid w:val="00651C05"/>
    <w:rsid w:val="007B2F3A"/>
    <w:rsid w:val="00862EA7"/>
    <w:rsid w:val="00B90BC8"/>
    <w:rsid w:val="00E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n-government-does-not-agree-to-import-37-used-japanese-train-carriages-12232021074038.html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doctin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fa.org/vietnamese/news/vietnamnews/copy_of_samsung-chief-expected-to-visit-vn-to-seek-overseas-business-opportunities-10312022094554.html" TargetMode="External"/><Relationship Id="rId7" Type="http://schemas.openxmlformats.org/officeDocument/2006/relationships/hyperlink" Target="https://www.rfa.org/vietnamese/news/land-acs-appeal-trial-12232021074541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rfa.org/vietnamese/news/former-chairman-of-hanoi-nguyen-duc-chung-appealed-12232021072507.html" TargetMode="External"/><Relationship Id="rId25" Type="http://schemas.openxmlformats.org/officeDocument/2006/relationships/hyperlink" Target="mailto:VietTV@rfa.or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rfa.org/vietnamese/news/former-head-of-dong-do-university-admits-granting-fake-degrees-12232021075638.html" TargetMode="External"/><Relationship Id="rId24" Type="http://schemas.openxmlformats.org/officeDocument/2006/relationships/hyperlink" Target="http://www.rfatiengviet.net/" TargetMode="External"/><Relationship Id="rId5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5" Type="http://schemas.openxmlformats.org/officeDocument/2006/relationships/hyperlink" Target="https://www.rfa.org/vietnamese/news/vietnam-factory-closures-cause-nike-to-cancel-130m-units-12222021072747.html" TargetMode="External"/><Relationship Id="rId23" Type="http://schemas.openxmlformats.org/officeDocument/2006/relationships/hyperlink" Target="mailto:vietweb@rfa.org" TargetMode="External"/><Relationship Id="rId28" Type="http://schemas.openxmlformats.org/officeDocument/2006/relationships/hyperlink" Target="mailto:vietnews-leave@rfanews.or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rfa.org/vietnamese/news/police-small-business-greeasing-fees-al-jazeera-122320210802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a.org/vietnamese/news/many-provinces-cities-confirmed-to-have-purchased-products-from-viet-a-12232021073931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rfa.org/vietnamese" TargetMode="External"/><Relationship Id="rId27" Type="http://schemas.openxmlformats.org/officeDocument/2006/relationships/hyperlink" Target="http://www.achautudo.inf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2022-10-31T21:56:00Z</dcterms:created>
  <dcterms:modified xsi:type="dcterms:W3CDTF">2022-10-31T21:56:00Z</dcterms:modified>
</cp:coreProperties>
</file>